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19 Checklist — KPIs That Matter</w:t>
      </w:r>
    </w:p>
    <w:p>
      <w:r>
        <w:t>The right numbers guide action.</w:t>
      </w:r>
    </w:p>
    <w:p>
      <w:pPr>
        <w:pStyle w:val="Heading2"/>
      </w:pPr>
      <w:r>
        <w:t>Choose KPIs</w:t>
      </w:r>
    </w:p>
    <w:p>
      <w:r>
        <w:rPr>
          <w:sz w:val="22"/>
        </w:rPr>
        <w:t>☐ Margin %</w:t>
      </w:r>
    </w:p>
    <w:p>
      <w:r>
        <w:rPr>
          <w:sz w:val="22"/>
        </w:rPr>
        <w:t>☐ Debtor days</w:t>
      </w:r>
    </w:p>
    <w:p>
      <w:r>
        <w:rPr>
          <w:sz w:val="22"/>
        </w:rPr>
        <w:t>☐ Pipeline value by stage</w:t>
      </w:r>
    </w:p>
    <w:p>
      <w:r>
        <w:rPr>
          <w:sz w:val="22"/>
        </w:rPr>
        <w:t>☐ Planned vs actual hours</w:t>
      </w:r>
    </w:p>
    <w:p>
      <w:r>
        <w:rPr>
          <w:sz w:val="22"/>
        </w:rPr>
        <w:t>☐ Cash runway</w:t>
      </w:r>
    </w:p>
    <w:p>
      <w:pPr>
        <w:pStyle w:val="Heading2"/>
      </w:pPr>
      <w:r>
        <w:t>Review weekly</w:t>
      </w:r>
    </w:p>
    <w:p>
      <w:r>
        <w:rPr>
          <w:sz w:val="22"/>
        </w:rPr>
        <w:t>☐ Assign owner per KPI</w:t>
      </w:r>
    </w:p>
    <w:p>
      <w:r>
        <w:rPr>
          <w:sz w:val="22"/>
        </w:rPr>
        <w:t>☐ Agree one move weekly</w:t>
      </w:r>
    </w:p>
    <w:p/>
    <w:p>
      <w:r>
        <w:t>Tip: Avoid vanity metrics that don’t drive action.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